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документы по гражданской обороне и ЧС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Комплект ГО и ЧС: план ГО (для отнесённых к категории), план действий по предупреждению и ликвидации ЧС, инструкции. Срок — 5 рабочих дней.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Организация и объект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Полное наименование, ИНН, адрес объекта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Отнесена ли организация к категории по ГО (если знаете)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Численность работников (наибольшая работающая смена)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Вид деятельности; есть ли опасные производственные факторы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убежище/укрытие, запасы СИЗ, система оповещения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 ли уполномоченный на решение задач ГО и ЧС (ФИО)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Какие документы уже есть (план ГО, план по ЧС, приказы)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Реквизиты организации (карточка предприятия)</w:t>
      </w:r>
    </w:p>
    <w:p>
      <w:pPr>
        <w:pStyle w:val="ListBullet"/>
      </w:pPr>
      <w:r>
        <w:t>Схема/план территории и здания</w:t>
      </w:r>
    </w:p>
    <w:p>
      <w:pPr>
        <w:pStyle w:val="ListBullet"/>
      </w:pPr>
      <w:r>
        <w:t>Прежние документы ГО и ЧС,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